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A9BC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Szakmai beszámoló az MVGYOSZ részére</w:t>
      </w:r>
    </w:p>
    <w:p w14:paraId="4AEE6E49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2025. év</w:t>
      </w:r>
    </w:p>
    <w:p w14:paraId="3809B56B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781ADF9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az MVGYOSZ által nyújtott támogatást a mellékelt számlák alapján 2025-ben is elsősorban bérköltségekre és a kapcsolódó járulékok kifizetésére fordította. A támogatás alapvető szerepet játszott a folyamatos, kiszámítható működés fenntartásában, valamint az ügyfélszolgálati és érdekképviseleti feladatok ellátásában.</w:t>
      </w:r>
    </w:p>
    <w:p w14:paraId="74FC1D12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6F41FCC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érdekvédelmi tevékenység mellett az Egyesület egész évben részt vett minden olyan ügyintézésben, amely a látássérült személyek mindennapi életét érinti. Ide tartozott többek között a parkolási igazolványokkal, közgyógyellátással kapcsolatos ügyintézés, felvilágosítás nyújtása, nyomtatványok kitöltése, másolása, valamint általános tanácsadás. A segítségnyújtás nem kizárólag a tagság számára volt elérhető, hanem minden hozzánk forduló részére.</w:t>
      </w:r>
    </w:p>
    <w:p w14:paraId="5E748A15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7E23194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irodája rendszeres nyitvatartással működött. A kapcsolattartás személyesen, telefonon és elektronikus úton is folyamatos volt, amely biztosította a tagok és az érdeklődők számára az elérhetőséget és az ügyintézés folyamatosságát.</w:t>
      </w:r>
    </w:p>
    <w:p w14:paraId="7B94CE75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16C15A97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elnökség 2025-ben több alkalommal tartott ülést, döntéseivel biztosítva az Egyesület jogszerű és átlátható működését. Az elnökség továbbra is szoros kapcsolatot ápolt a kistérségi csoportokkal, az elnökségi tagok rendszeresen részt vettek azok összejövetelein és programjain.</w:t>
      </w:r>
    </w:p>
    <w:p w14:paraId="12BCFE8B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777DC9FF" w14:textId="16E8AD9A" w:rsid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 xml:space="preserve">A tagság létszámadatai 2025-ben az alábbiak szerint alakultak. </w:t>
      </w:r>
    </w:p>
    <w:p w14:paraId="1DAD654E" w14:textId="501F6886" w:rsidR="0037488E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>2025. évben nyilvántartott tagok létszáma( díjhátralékosok is): 241 fő</w:t>
      </w:r>
    </w:p>
    <w:p w14:paraId="0AA514F0" w14:textId="28E826E4" w:rsidR="0037488E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 xml:space="preserve">2025. évben tagdíjat fizetők száma: 267 fő ebből </w:t>
      </w:r>
    </w:p>
    <w:p w14:paraId="513266C9" w14:textId="7E1D40DF" w:rsidR="0037488E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>2023-ra : 3 fő</w:t>
      </w:r>
    </w:p>
    <w:p w14:paraId="3A8CE001" w14:textId="2D982711" w:rsidR="0037488E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>2024-re : 4 fő</w:t>
      </w:r>
    </w:p>
    <w:p w14:paraId="736713FC" w14:textId="2E1E3B6C" w:rsidR="0037488E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lastRenderedPageBreak/>
        <w:t>2025-re: 104 fő</w:t>
      </w:r>
    </w:p>
    <w:p w14:paraId="4F546D0D" w14:textId="39ACABE4" w:rsidR="0037488E" w:rsidRPr="00536977" w:rsidRDefault="0037488E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>
        <w:rPr>
          <w:rFonts w:ascii="Times New Roman" w:hAnsi="Times New Roman" w:cstheme="minorHAnsi"/>
          <w:sz w:val="24"/>
        </w:rPr>
        <w:t>2026-ra: 152 fő</w:t>
      </w:r>
    </w:p>
    <w:p w14:paraId="2FBB41FC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DDF2E3F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kommunikációját és a tagok közötti információáramlást több online felület is segítette. Négy Facebook-csoport működött aktívan, amelyek lehetőséget biztosítottak a gyors tájékoztatásra és a tagok közötti kapcsolattartásra.</w:t>
      </w:r>
    </w:p>
    <w:p w14:paraId="35FE0E97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E827950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 kézműves csoportok 2025-ben is aktívan működtek. Az adventi jótékonysági faház programjához 3 alkalommal csatlakoztak, ahol a csoportok által készített, gyöngyből, papírból, textilből, fonalból és egyéb alapanyagokból készült használati és dísztárgyak kerültek bemutatásra az érdeklődők számára.</w:t>
      </w:r>
    </w:p>
    <w:p w14:paraId="1E74F6B0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82884E6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az év során minden jelentősebb ünnepről megemlékezett, valamint közösségi programokat szervezett. Nyári időszakban kirándulás valósult meg Pécsen, ahol a résztvevők a város nevezetességeivel ismerkedhettek meg.</w:t>
      </w:r>
    </w:p>
    <w:p w14:paraId="157F1F8F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48EA66AC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2025-ben egész évben zajlottak szemléletformáló programok. Ezek keretében bemutatásra kerültek a látássérült emberek mindennapi életét segítő eszközök, mint például a fehérbot, tapintható társasjátékok, beszélő óra, beszélő telefon, mérleg, csörgőlabda, valamint vakvezető kutya bevonásával megvalósuló foglalkozások. A programok minden alkalommal nagy érdeklődés mellett zajlottak, elsősorban gyermekek és fiatalok körében.</w:t>
      </w:r>
    </w:p>
    <w:p w14:paraId="6371B763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1C95482E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egyik kiemelt feladata továbbra is a rászoruló látássérült személyek támogatása volt. Kedvezményes áron segédeszközök beszerzését segítette elő, amelyek a mindennapi életvitelt könnyítik meg. Az év végén 60 karácsonyi csomag került kiosztásra rászoruló tagok részére.</w:t>
      </w:r>
    </w:p>
    <w:p w14:paraId="25FEBFD0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91163C2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lastRenderedPageBreak/>
        <w:t>A megyei Lions Clubokkal fennálló együttműködés 2025-ben is folytatódott, amely több évtizedes múltra tekint vissza. A Fehér Bot napja alkalmából hat személy részesült elismerésben az Egyesülethez kötődő munkájáért és támogatásáért.</w:t>
      </w:r>
    </w:p>
    <w:p w14:paraId="6B2CD11B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15EEB86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 kistérségi csoportok folytatták több évtizedes tevékenységüket. A körzetekben és szociális otthonokban élő idős, beteg látássérült személyek rendszeres látogatása és telefonos kapcsolattartása mindennapos feladat volt a csoportok számára.</w:t>
      </w:r>
    </w:p>
    <w:p w14:paraId="217E511E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5FAB2C9" w14:textId="77777777" w:rsid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tevékenységéről a helyi médiumok több alkalommal beszámoltak, valamint részt vettek a rendezvényeken is, ezzel segítve a társadalmi szemléletformálást.</w:t>
      </w:r>
    </w:p>
    <w:p w14:paraId="639215DD" w14:textId="5D6DA0ED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Szakmai indikátorok</w:t>
      </w:r>
      <w:r>
        <w:rPr>
          <w:rFonts w:ascii="Times New Roman" w:hAnsi="Times New Roman" w:cstheme="minorHAnsi"/>
          <w:sz w:val="24"/>
        </w:rPr>
        <w:t xml:space="preserve"> részletezve: </w:t>
      </w:r>
    </w:p>
    <w:p w14:paraId="765DB1B3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37707E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1. Regisztrált ügyfeleinek száma (fő/év):</w:t>
      </w:r>
    </w:p>
    <w:p w14:paraId="0876134A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1021</w:t>
      </w:r>
    </w:p>
    <w:p w14:paraId="34CEBB7A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79FAF6A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2. Saját szervezésű szabadidős, sport, kulturális és egyéb programok száma:</w:t>
      </w:r>
    </w:p>
    <w:p w14:paraId="2BD49159" w14:textId="3580A166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136</w:t>
      </w:r>
      <w:r w:rsidR="0014764A">
        <w:rPr>
          <w:rFonts w:ascii="Times New Roman" w:hAnsi="Times New Roman" w:cstheme="minorHAnsi"/>
          <w:sz w:val="24"/>
        </w:rPr>
        <w:t xml:space="preserve"> ebből Győr: 79 alkalom Sopron: 48 alkalom Móvár: 9 alkalom</w:t>
      </w:r>
    </w:p>
    <w:p w14:paraId="14D8DDC6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5EC0B19F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3. Szemléletformáló foglalkozások száma:</w:t>
      </w:r>
    </w:p>
    <w:p w14:paraId="216AFF8C" w14:textId="61C4B585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221</w:t>
      </w:r>
      <w:r w:rsidR="0014764A">
        <w:rPr>
          <w:rFonts w:ascii="Times New Roman" w:hAnsi="Times New Roman" w:cstheme="minorHAnsi"/>
          <w:sz w:val="24"/>
        </w:rPr>
        <w:t xml:space="preserve"> ebből Győr: 126 alkalom Sopron 82 alkalom, Móvár:13 alkalom</w:t>
      </w:r>
    </w:p>
    <w:p w14:paraId="20DA6F15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76E44E9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4. Egyesületi támogatásokban részesülők száma és összege:</w:t>
      </w:r>
    </w:p>
    <w:p w14:paraId="2FA71DFE" w14:textId="4EACEC2D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16 fő</w:t>
      </w:r>
      <w:r w:rsidR="0014764A">
        <w:rPr>
          <w:rFonts w:ascii="Times New Roman" w:hAnsi="Times New Roman" w:cstheme="minorHAnsi"/>
          <w:sz w:val="24"/>
        </w:rPr>
        <w:t xml:space="preserve"> </w:t>
      </w:r>
    </w:p>
    <w:p w14:paraId="767E0D23" w14:textId="5AED6246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Ráfordított összeg: 385 731 Ft</w:t>
      </w:r>
    </w:p>
    <w:p w14:paraId="5CCAFF4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5. Egyesületi részvétel más szervezet által szervezett programokon, előadásokon:</w:t>
      </w:r>
    </w:p>
    <w:p w14:paraId="72AF7771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7</w:t>
      </w:r>
    </w:p>
    <w:p w14:paraId="50861C8A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4401C8F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6. Elektronikus hírlevelek és postai úton kiküldött tájékoztatólevelek száma:</w:t>
      </w:r>
    </w:p>
    <w:p w14:paraId="138704EC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82</w:t>
      </w:r>
    </w:p>
    <w:p w14:paraId="3DD481C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1C83003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--III. Az érdekképviseleti tevékenységet támogató adatszolgáltatás**</w:t>
      </w:r>
    </w:p>
    <w:p w14:paraId="68ACFB4D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4F319C5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1. Az egyesület 18 év alatti tagjainak száma:</w:t>
      </w:r>
    </w:p>
    <w:p w14:paraId="3D4716CF" w14:textId="163046A9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6</w:t>
      </w:r>
      <w:r w:rsidR="0014764A">
        <w:rPr>
          <w:rFonts w:ascii="Times New Roman" w:hAnsi="Times New Roman" w:cstheme="minorHAnsi"/>
          <w:sz w:val="24"/>
        </w:rPr>
        <w:t xml:space="preserve"> fő</w:t>
      </w:r>
    </w:p>
    <w:p w14:paraId="6B42EA4C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123636B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2. Új tagok száma:</w:t>
      </w:r>
    </w:p>
    <w:p w14:paraId="45A9B273" w14:textId="41945DF9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23</w:t>
      </w:r>
      <w:r w:rsidR="0014764A">
        <w:rPr>
          <w:rFonts w:ascii="Times New Roman" w:hAnsi="Times New Roman" w:cstheme="minorHAnsi"/>
          <w:sz w:val="24"/>
        </w:rPr>
        <w:t xml:space="preserve"> fő</w:t>
      </w:r>
    </w:p>
    <w:p w14:paraId="1A2FB08F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2952788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3. Az egyesület munkavállalóinak száma:</w:t>
      </w:r>
    </w:p>
    <w:p w14:paraId="1F1A4E1F" w14:textId="45771991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3</w:t>
      </w:r>
      <w:r w:rsidR="0014764A">
        <w:rPr>
          <w:rFonts w:ascii="Times New Roman" w:hAnsi="Times New Roman" w:cstheme="minorHAnsi"/>
          <w:sz w:val="24"/>
        </w:rPr>
        <w:t xml:space="preserve"> fő</w:t>
      </w:r>
    </w:p>
    <w:p w14:paraId="4F33BA33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0E7B268C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4. Bértámogatással foglalkoztatott munkavállalók száma:</w:t>
      </w:r>
    </w:p>
    <w:p w14:paraId="2582918B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0</w:t>
      </w:r>
    </w:p>
    <w:p w14:paraId="1D163C51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7914B97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5. Szemléletformáló foglalkozásokon résztvevők száma:</w:t>
      </w:r>
    </w:p>
    <w:p w14:paraId="2B1B82AA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5052</w:t>
      </w:r>
    </w:p>
    <w:p w14:paraId="59708069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4BFB0F0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6. Segédeszköz bemutatók száma:</w:t>
      </w:r>
    </w:p>
    <w:p w14:paraId="797BE23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0</w:t>
      </w:r>
    </w:p>
    <w:p w14:paraId="20A363E7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373C66AA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lastRenderedPageBreak/>
        <w:t>7. Akadálymentesítési tevékenységek száma:</w:t>
      </w:r>
    </w:p>
    <w:p w14:paraId="233B681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1</w:t>
      </w:r>
    </w:p>
    <w:p w14:paraId="39161101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1E971F7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8. Elemi rehabilitációs tevékenységek száma:</w:t>
      </w:r>
    </w:p>
    <w:p w14:paraId="269FED3B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0</w:t>
      </w:r>
    </w:p>
    <w:p w14:paraId="605CBCB5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0C0688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9. Elemi rehabilitációs szolgáltatást igénybe vevő ügyfelek száma:</w:t>
      </w:r>
    </w:p>
    <w:p w14:paraId="50762DA0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0</w:t>
      </w:r>
    </w:p>
    <w:p w14:paraId="60C12A44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D7F560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10. Elektronikus hírlevelet kapók száma:</w:t>
      </w:r>
    </w:p>
    <w:p w14:paraId="491551B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 179</w:t>
      </w:r>
    </w:p>
    <w:p w14:paraId="51EDCD33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2AE5FBF0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11. Facebook követők száma:</w:t>
      </w:r>
    </w:p>
    <w:p w14:paraId="53FEFAEE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 401</w:t>
      </w:r>
    </w:p>
    <w:p w14:paraId="77ED6702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9959CCD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12. Média megjelenések száma:</w:t>
      </w:r>
    </w:p>
    <w:p w14:paraId="2BAD6606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 5</w:t>
      </w:r>
    </w:p>
    <w:p w14:paraId="362FD031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352C3BC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13. Egyéb szolgáltatások:</w:t>
      </w:r>
    </w:p>
    <w:p w14:paraId="792BFEA0" w14:textId="77777777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27D43F94" w14:textId="35DEEB63" w:rsidR="00BF62B0" w:rsidRPr="00BF62B0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 xml:space="preserve">    * segédeszköz kölcsönadás</w:t>
      </w:r>
      <w:r w:rsidR="0014764A">
        <w:rPr>
          <w:rFonts w:ascii="Times New Roman" w:hAnsi="Times New Roman" w:cstheme="minorHAnsi"/>
          <w:sz w:val="24"/>
        </w:rPr>
        <w:t xml:space="preserve"> 6 db</w:t>
      </w:r>
    </w:p>
    <w:p w14:paraId="637867F1" w14:textId="1497E98F" w:rsidR="0037488E" w:rsidRPr="00536977" w:rsidRDefault="00BF62B0" w:rsidP="00BF62B0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BF62B0">
        <w:rPr>
          <w:rFonts w:ascii="Times New Roman" w:hAnsi="Times New Roman" w:cstheme="minorHAnsi"/>
          <w:sz w:val="24"/>
        </w:rPr>
        <w:t>Bock Valter vaktárs segítése fehérbot vásárlásban</w:t>
      </w:r>
    </w:p>
    <w:p w14:paraId="7DA9760C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</w:p>
    <w:p w14:paraId="6922B0EE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lastRenderedPageBreak/>
        <w:t>Az MVGYOSZ támogatása nélkül az Egyesület működése 2025-ben is jelentős nehézségekbe ütközött volna, különösen a bér- és járulékköltségek, valamint az alapműködés finanszírozása terén. A támogatás elengedhetetlen volt a folyamatos szolgáltatások biztosításához.</w:t>
      </w:r>
    </w:p>
    <w:p w14:paraId="72EA7CFD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Az Egyesület részletes tevékenységét a kapcsolódó szempontrendszer tartalmazza.</w:t>
      </w:r>
    </w:p>
    <w:p w14:paraId="28C9F0A5" w14:textId="77777777" w:rsidR="00536977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Fóris Norbert</w:t>
      </w:r>
    </w:p>
    <w:p w14:paraId="1F0E6BEB" w14:textId="6621B1CC" w:rsidR="006C726D" w:rsidRPr="00536977" w:rsidRDefault="00536977" w:rsidP="00536977">
      <w:pPr>
        <w:spacing w:line="360" w:lineRule="auto"/>
        <w:jc w:val="both"/>
        <w:rPr>
          <w:rFonts w:ascii="Times New Roman" w:hAnsi="Times New Roman" w:cstheme="minorHAnsi"/>
          <w:sz w:val="24"/>
        </w:rPr>
      </w:pPr>
      <w:r w:rsidRPr="00536977">
        <w:rPr>
          <w:rFonts w:ascii="Times New Roman" w:hAnsi="Times New Roman" w:cstheme="minorHAnsi"/>
          <w:sz w:val="24"/>
        </w:rPr>
        <w:t>Elnök</w:t>
      </w:r>
    </w:p>
    <w:sectPr w:rsidR="006C726D" w:rsidRPr="0053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77"/>
    <w:rsid w:val="0014764A"/>
    <w:rsid w:val="00295B2A"/>
    <w:rsid w:val="0037488E"/>
    <w:rsid w:val="00536977"/>
    <w:rsid w:val="006C726D"/>
    <w:rsid w:val="00BF62B0"/>
    <w:rsid w:val="00C01EDF"/>
    <w:rsid w:val="00E92269"/>
    <w:rsid w:val="00F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5B80"/>
  <w15:chartTrackingRefBased/>
  <w15:docId w15:val="{5006700D-FFAC-4763-9ACC-33C23DC3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691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Norbert</dc:creator>
  <cp:keywords/>
  <dc:description/>
  <cp:lastModifiedBy>Fóris Norbert</cp:lastModifiedBy>
  <cp:revision>8</cp:revision>
  <dcterms:created xsi:type="dcterms:W3CDTF">2026-01-28T09:47:00Z</dcterms:created>
  <dcterms:modified xsi:type="dcterms:W3CDTF">2026-03-22T12:08:00Z</dcterms:modified>
</cp:coreProperties>
</file>